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19E79" w14:textId="77777777" w:rsidR="005A0DBC" w:rsidRPr="005A0DBC" w:rsidRDefault="005A0DBC" w:rsidP="005A0DBC">
      <w:pPr>
        <w:pStyle w:val="NormalWeb"/>
        <w:spacing w:before="40" w:beforeAutospacing="0" w:after="40" w:afterAutospacing="0"/>
        <w:jc w:val="center"/>
        <w:rPr>
          <w:rFonts w:ascii="Arial" w:eastAsia="PMingLiU" w:hAnsi="Arial" w:cs="Arial"/>
          <w:b/>
          <w:bCs/>
          <w:color w:val="365F91"/>
          <w:sz w:val="32"/>
          <w:szCs w:val="32"/>
          <w:lang w:eastAsia="en-US"/>
        </w:rPr>
      </w:pPr>
      <w:r w:rsidRPr="005A0DBC">
        <w:rPr>
          <w:rFonts w:ascii="Arial" w:eastAsia="PMingLiU" w:hAnsi="Arial" w:cs="Arial"/>
          <w:b/>
          <w:bCs/>
          <w:color w:val="365F91"/>
          <w:sz w:val="32"/>
          <w:szCs w:val="32"/>
          <w:lang w:eastAsia="en-US"/>
        </w:rPr>
        <w:t>Corporate Policy</w:t>
      </w:r>
    </w:p>
    <w:p w14:paraId="57E94D6A" w14:textId="77777777" w:rsidR="005A0DBC" w:rsidRPr="005A0DBC" w:rsidRDefault="005A0DBC" w:rsidP="005A0DBC">
      <w:pPr>
        <w:pStyle w:val="NormalWeb"/>
        <w:spacing w:before="40" w:beforeAutospacing="0" w:after="40" w:afterAutospacing="0"/>
        <w:jc w:val="center"/>
        <w:rPr>
          <w:rFonts w:ascii="Arial" w:eastAsia="PMingLiU" w:hAnsi="Arial" w:cs="Arial"/>
          <w:b/>
          <w:bCs/>
          <w:color w:val="365F91"/>
          <w:sz w:val="32"/>
          <w:szCs w:val="32"/>
          <w:lang w:eastAsia="en-US"/>
        </w:rPr>
      </w:pPr>
      <w:r w:rsidRPr="005A0DBC">
        <w:rPr>
          <w:rFonts w:ascii="Arial" w:eastAsia="PMingLiU" w:hAnsi="Arial" w:cs="Arial"/>
          <w:b/>
          <w:bCs/>
          <w:color w:val="365F91"/>
          <w:sz w:val="32"/>
          <w:szCs w:val="32"/>
          <w:lang w:eastAsia="en-US"/>
        </w:rPr>
        <w:t>Procurement – the purchase of goods and services</w:t>
      </w:r>
    </w:p>
    <w:p w14:paraId="2C4BC3F6" w14:textId="77777777" w:rsidR="005A0DBC" w:rsidRDefault="005A0DBC" w:rsidP="005A0DBC">
      <w:pPr>
        <w:pStyle w:val="NormalWeb"/>
        <w:spacing w:before="120" w:beforeAutospacing="0" w:after="0" w:afterAutospacing="0"/>
        <w:rPr>
          <w:rFonts w:ascii="Arial" w:eastAsia="PMingLiU" w:hAnsi="Arial" w:cs="Arial"/>
          <w:color w:val="auto"/>
          <w:sz w:val="22"/>
          <w:szCs w:val="22"/>
          <w:lang w:eastAsia="en-US"/>
        </w:rPr>
      </w:pPr>
    </w:p>
    <w:p w14:paraId="71A96FC8" w14:textId="77777777" w:rsidR="005A0DBC" w:rsidRPr="006C5FE9" w:rsidRDefault="005A0DBC" w:rsidP="005A0DBC">
      <w:pPr>
        <w:pStyle w:val="NormalWeb"/>
        <w:spacing w:before="120" w:beforeAutospacing="0" w:after="0" w:afterAutospacing="0"/>
        <w:rPr>
          <w:rFonts w:ascii="Arial" w:eastAsia="PMingLiU" w:hAnsi="Arial" w:cs="Arial"/>
          <w:color w:val="auto"/>
          <w:sz w:val="21"/>
          <w:szCs w:val="21"/>
          <w:lang w:eastAsia="en-US"/>
        </w:rPr>
      </w:pPr>
      <w:r w:rsidRPr="006C5FE9">
        <w:rPr>
          <w:rFonts w:ascii="Arial" w:eastAsia="PMingLiU" w:hAnsi="Arial" w:cs="Arial"/>
          <w:color w:val="auto"/>
          <w:sz w:val="21"/>
          <w:szCs w:val="21"/>
          <w:lang w:eastAsia="en-US"/>
        </w:rPr>
        <w:t xml:space="preserve">This policy must be read in conjunction with the </w:t>
      </w:r>
      <w:hyperlink r:id="rId8" w:history="1">
        <w:r w:rsidRPr="006C5FE9">
          <w:rPr>
            <w:rStyle w:val="Hyperlink"/>
            <w:rFonts w:ascii="Arial" w:eastAsia="PMingLiU" w:hAnsi="Arial" w:cs="Arial"/>
            <w:sz w:val="21"/>
            <w:szCs w:val="21"/>
            <w:lang w:eastAsia="en-US"/>
          </w:rPr>
          <w:t>DPC Procurement Guidelines</w:t>
        </w:r>
      </w:hyperlink>
      <w:r w:rsidRPr="006C5FE9">
        <w:rPr>
          <w:rFonts w:ascii="Arial" w:eastAsia="PMingLiU" w:hAnsi="Arial" w:cs="Arial"/>
          <w:color w:val="auto"/>
          <w:sz w:val="21"/>
          <w:szCs w:val="21"/>
          <w:lang w:eastAsia="en-US"/>
        </w:rPr>
        <w:t>.</w:t>
      </w:r>
    </w:p>
    <w:p w14:paraId="0C324D6F" w14:textId="77777777" w:rsidR="005A0DBC" w:rsidRPr="006C5FE9" w:rsidRDefault="005A0DBC" w:rsidP="005A0DBC">
      <w:pPr>
        <w:pStyle w:val="Heading1"/>
        <w:spacing w:before="120"/>
        <w:rPr>
          <w:rFonts w:ascii="Arial" w:eastAsia="PMingLiU" w:hAnsi="Arial" w:cs="Arial"/>
          <w:b/>
          <w:color w:val="auto"/>
          <w:sz w:val="21"/>
          <w:szCs w:val="21"/>
        </w:rPr>
      </w:pPr>
      <w:r w:rsidRPr="006C5FE9">
        <w:rPr>
          <w:rFonts w:ascii="Arial" w:eastAsia="PMingLiU" w:hAnsi="Arial" w:cs="Arial"/>
          <w:b/>
          <w:color w:val="auto"/>
          <w:sz w:val="21"/>
          <w:szCs w:val="21"/>
        </w:rPr>
        <w:t>Purpose</w:t>
      </w:r>
    </w:p>
    <w:p w14:paraId="00D165E2" w14:textId="77777777" w:rsidR="005A0DBC" w:rsidRPr="006C5FE9" w:rsidRDefault="005A0DBC" w:rsidP="005A0DBC">
      <w:pPr>
        <w:pStyle w:val="Heading1"/>
        <w:spacing w:before="120"/>
        <w:rPr>
          <w:rFonts w:ascii="Arial" w:eastAsia="PMingLiU" w:hAnsi="Arial" w:cs="Arial"/>
          <w:color w:val="auto"/>
          <w:sz w:val="21"/>
          <w:szCs w:val="21"/>
        </w:rPr>
      </w:pPr>
      <w:r w:rsidRPr="006C5FE9">
        <w:rPr>
          <w:rFonts w:ascii="Arial" w:eastAsia="PMingLiU" w:hAnsi="Arial" w:cs="Arial"/>
          <w:color w:val="auto"/>
          <w:sz w:val="21"/>
          <w:szCs w:val="21"/>
        </w:rPr>
        <w:t>This policy:</w:t>
      </w:r>
    </w:p>
    <w:p w14:paraId="7C3E384F" w14:textId="04B766E1" w:rsidR="005A0DBC" w:rsidRPr="006C5FE9" w:rsidRDefault="005A0DBC" w:rsidP="005A0DBC">
      <w:pPr>
        <w:pStyle w:val="NormalWeb"/>
        <w:numPr>
          <w:ilvl w:val="0"/>
          <w:numId w:val="1"/>
        </w:numPr>
        <w:spacing w:before="0" w:beforeAutospacing="0" w:after="0" w:afterAutospacing="0"/>
        <w:rPr>
          <w:rFonts w:ascii="Arial" w:eastAsia="PMingLiU" w:hAnsi="Arial" w:cs="Arial"/>
          <w:color w:val="auto"/>
          <w:sz w:val="21"/>
          <w:szCs w:val="21"/>
          <w:lang w:eastAsia="en-US"/>
        </w:rPr>
      </w:pPr>
      <w:r w:rsidRPr="006C5FE9">
        <w:rPr>
          <w:rFonts w:ascii="Arial" w:eastAsia="PMingLiU" w:hAnsi="Arial" w:cs="Arial"/>
          <w:color w:val="auto"/>
          <w:sz w:val="21"/>
          <w:szCs w:val="21"/>
          <w:lang w:eastAsia="en-US"/>
        </w:rPr>
        <w:t>outlines the principles regarding the purchase of all goods and services in the department</w:t>
      </w:r>
    </w:p>
    <w:p w14:paraId="7A032B27" w14:textId="77777777" w:rsidR="005A0DBC" w:rsidRPr="006C5FE9" w:rsidRDefault="005A0DBC" w:rsidP="005A0DBC">
      <w:pPr>
        <w:pStyle w:val="NormalWeb"/>
        <w:numPr>
          <w:ilvl w:val="0"/>
          <w:numId w:val="1"/>
        </w:numPr>
        <w:spacing w:before="0" w:beforeAutospacing="0" w:after="0" w:afterAutospacing="0"/>
        <w:rPr>
          <w:rFonts w:ascii="Arial" w:eastAsia="PMingLiU" w:hAnsi="Arial" w:cs="Arial"/>
          <w:color w:val="auto"/>
          <w:sz w:val="21"/>
          <w:szCs w:val="21"/>
          <w:lang w:eastAsia="en-US"/>
        </w:rPr>
      </w:pPr>
      <w:r w:rsidRPr="006C5FE9">
        <w:rPr>
          <w:rFonts w:ascii="Arial" w:eastAsia="PMingLiU" w:hAnsi="Arial" w:cs="Arial"/>
          <w:color w:val="auto"/>
          <w:sz w:val="21"/>
          <w:szCs w:val="21"/>
          <w:lang w:eastAsia="en-US"/>
        </w:rPr>
        <w:t>provides advice on the approvals required to undertake a procurement process.</w:t>
      </w:r>
    </w:p>
    <w:p w14:paraId="669B77AB" w14:textId="77777777" w:rsidR="005A0DBC" w:rsidRPr="006C5FE9" w:rsidRDefault="005A0DBC" w:rsidP="005A0DBC">
      <w:pPr>
        <w:pStyle w:val="NormalWeb"/>
        <w:spacing w:before="120" w:beforeAutospacing="0" w:after="0" w:afterAutospacing="0"/>
        <w:rPr>
          <w:rFonts w:ascii="Arial" w:eastAsia="PMingLiU" w:hAnsi="Arial" w:cs="Arial"/>
          <w:color w:val="auto"/>
          <w:sz w:val="21"/>
          <w:szCs w:val="21"/>
          <w:lang w:eastAsia="en-US"/>
        </w:rPr>
      </w:pPr>
    </w:p>
    <w:p w14:paraId="754AC8BD" w14:textId="77777777" w:rsidR="005A0DBC" w:rsidRPr="006C5FE9" w:rsidRDefault="005A0DBC" w:rsidP="005A0DBC">
      <w:pPr>
        <w:pStyle w:val="NormalWeb"/>
        <w:spacing w:before="0" w:beforeAutospacing="0" w:after="240" w:afterAutospacing="0"/>
        <w:rPr>
          <w:rFonts w:ascii="Arial" w:eastAsia="PMingLiU" w:hAnsi="Arial" w:cs="Arial"/>
          <w:b/>
          <w:color w:val="auto"/>
          <w:sz w:val="21"/>
          <w:szCs w:val="21"/>
        </w:rPr>
      </w:pPr>
      <w:r w:rsidRPr="006C5FE9">
        <w:rPr>
          <w:rFonts w:ascii="Arial" w:eastAsia="PMingLiU" w:hAnsi="Arial" w:cs="Arial"/>
          <w:b/>
          <w:color w:val="auto"/>
          <w:sz w:val="21"/>
          <w:szCs w:val="21"/>
        </w:rPr>
        <w:t xml:space="preserve">Guiding Principles </w:t>
      </w:r>
      <w:bookmarkStart w:id="0" w:name="_GoBack"/>
      <w:bookmarkEnd w:id="0"/>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5A0DBC" w:rsidRPr="006C5FE9" w14:paraId="137D69AE" w14:textId="77777777" w:rsidTr="0040303B">
        <w:tc>
          <w:tcPr>
            <w:tcW w:w="9242" w:type="dxa"/>
          </w:tcPr>
          <w:p w14:paraId="5103F0E5" w14:textId="77777777" w:rsidR="005A0DBC" w:rsidRPr="005A0DBC" w:rsidRDefault="005A0DBC" w:rsidP="0040303B">
            <w:pPr>
              <w:pStyle w:val="NormalWeb"/>
              <w:spacing w:before="120" w:beforeAutospacing="0" w:after="120" w:afterAutospacing="0"/>
              <w:rPr>
                <w:rFonts w:ascii="Arial" w:hAnsi="Arial" w:cs="Arial"/>
                <w:b/>
                <w:sz w:val="21"/>
                <w:szCs w:val="21"/>
                <w:lang w:val="en-US"/>
              </w:rPr>
            </w:pPr>
            <w:r w:rsidRPr="005A0DBC">
              <w:rPr>
                <w:rFonts w:ascii="Arial" w:hAnsi="Arial" w:cs="Arial"/>
                <w:b/>
                <w:sz w:val="21"/>
                <w:szCs w:val="21"/>
                <w:lang w:val="en-US"/>
              </w:rPr>
              <w:t>Primary principle</w:t>
            </w:r>
          </w:p>
          <w:p w14:paraId="1F3D734F" w14:textId="77777777" w:rsidR="005A0DBC" w:rsidRPr="005A0DBC" w:rsidRDefault="005A0DBC" w:rsidP="005A0DBC">
            <w:pPr>
              <w:pStyle w:val="NormalWeb"/>
              <w:numPr>
                <w:ilvl w:val="0"/>
                <w:numId w:val="2"/>
              </w:numPr>
              <w:spacing w:before="120" w:beforeAutospacing="0" w:after="120" w:afterAutospacing="0"/>
              <w:rPr>
                <w:rStyle w:val="Strong"/>
                <w:rFonts w:ascii="Arial" w:hAnsi="Arial" w:cs="Arial"/>
                <w:bCs w:val="0"/>
                <w:sz w:val="21"/>
                <w:szCs w:val="21"/>
                <w:lang w:val="en-US"/>
              </w:rPr>
            </w:pPr>
            <w:r w:rsidRPr="005A0DBC">
              <w:rPr>
                <w:rFonts w:ascii="Arial" w:hAnsi="Arial" w:cs="Arial"/>
                <w:sz w:val="21"/>
                <w:szCs w:val="21"/>
                <w:lang w:val="en-US"/>
              </w:rPr>
              <w:t>D</w:t>
            </w:r>
            <w:r w:rsidRPr="005A0DBC">
              <w:rPr>
                <w:rFonts w:ascii="Arial" w:hAnsi="Arial" w:cs="Arial"/>
                <w:sz w:val="21"/>
                <w:szCs w:val="21"/>
                <w:lang w:val="en-US"/>
              </w:rPr>
              <w:t>rive value for money in procuring high quality goods and services</w:t>
            </w:r>
            <w:r w:rsidRPr="005A0DBC">
              <w:rPr>
                <w:rFonts w:ascii="Arial" w:hAnsi="Arial" w:cs="Arial"/>
                <w:sz w:val="21"/>
                <w:szCs w:val="21"/>
                <w:lang w:val="en-US"/>
              </w:rPr>
              <w:t>.</w:t>
            </w:r>
          </w:p>
        </w:tc>
      </w:tr>
      <w:tr w:rsidR="005A0DBC" w:rsidRPr="006C5FE9" w14:paraId="4F16EB27" w14:textId="77777777" w:rsidTr="0040303B">
        <w:tc>
          <w:tcPr>
            <w:tcW w:w="9242" w:type="dxa"/>
          </w:tcPr>
          <w:p w14:paraId="4D4BF2BB" w14:textId="77777777" w:rsidR="005A0DBC" w:rsidRPr="006C5FE9" w:rsidRDefault="005A0DBC" w:rsidP="0040303B">
            <w:pPr>
              <w:pStyle w:val="NormalWeb"/>
              <w:spacing w:before="120" w:beforeAutospacing="0" w:after="120" w:afterAutospacing="0"/>
              <w:rPr>
                <w:rStyle w:val="Strong"/>
                <w:rFonts w:ascii="Arial" w:hAnsi="Arial" w:cs="Arial"/>
                <w:sz w:val="21"/>
                <w:szCs w:val="21"/>
                <w:lang w:val="en-US" w:eastAsia="zh-CN"/>
              </w:rPr>
            </w:pPr>
            <w:r w:rsidRPr="006C5FE9">
              <w:rPr>
                <w:rStyle w:val="Strong"/>
                <w:rFonts w:ascii="Arial" w:hAnsi="Arial" w:cs="Arial"/>
                <w:sz w:val="21"/>
                <w:szCs w:val="21"/>
                <w:lang w:val="en-US"/>
              </w:rPr>
              <w:t>Supporting principles</w:t>
            </w:r>
          </w:p>
          <w:p w14:paraId="75ABC473" w14:textId="77777777" w:rsidR="005A0DBC" w:rsidRPr="006C5FE9" w:rsidRDefault="005A0DBC" w:rsidP="005A0DBC">
            <w:pPr>
              <w:pStyle w:val="NormalWeb"/>
              <w:numPr>
                <w:ilvl w:val="0"/>
                <w:numId w:val="3"/>
              </w:numPr>
              <w:spacing w:before="0" w:beforeAutospacing="0" w:after="40" w:afterAutospacing="0"/>
              <w:rPr>
                <w:rFonts w:ascii="Arial" w:hAnsi="Arial" w:cs="Arial"/>
                <w:sz w:val="21"/>
                <w:szCs w:val="21"/>
                <w:lang w:val="en-US"/>
              </w:rPr>
            </w:pPr>
            <w:r>
              <w:rPr>
                <w:rFonts w:ascii="Arial" w:hAnsi="Arial" w:cs="Arial"/>
                <w:sz w:val="21"/>
                <w:szCs w:val="21"/>
                <w:lang w:val="en-US"/>
              </w:rPr>
              <w:t>U</w:t>
            </w:r>
            <w:r w:rsidRPr="006C5FE9">
              <w:rPr>
                <w:rFonts w:ascii="Arial" w:hAnsi="Arial" w:cs="Arial"/>
                <w:sz w:val="21"/>
                <w:szCs w:val="21"/>
                <w:lang w:val="en-US"/>
              </w:rPr>
              <w:t>ndertake our procurement with integrity, ensuring accountability for outcomes</w:t>
            </w:r>
            <w:r>
              <w:rPr>
                <w:rFonts w:ascii="Arial" w:hAnsi="Arial" w:cs="Arial"/>
                <w:sz w:val="21"/>
                <w:szCs w:val="21"/>
                <w:lang w:val="en-US"/>
              </w:rPr>
              <w:t>.</w:t>
            </w:r>
          </w:p>
          <w:p w14:paraId="599C6BC8" w14:textId="77777777" w:rsidR="005A0DBC" w:rsidRPr="006C5FE9" w:rsidRDefault="005A0DBC" w:rsidP="005A0DBC">
            <w:pPr>
              <w:pStyle w:val="NormalWeb"/>
              <w:numPr>
                <w:ilvl w:val="0"/>
                <w:numId w:val="3"/>
              </w:numPr>
              <w:spacing w:before="0" w:beforeAutospacing="0" w:after="40" w:afterAutospacing="0"/>
              <w:rPr>
                <w:rFonts w:ascii="Arial" w:hAnsi="Arial" w:cs="Arial"/>
                <w:sz w:val="21"/>
                <w:szCs w:val="21"/>
                <w:lang w:val="en-US"/>
              </w:rPr>
            </w:pPr>
            <w:r>
              <w:rPr>
                <w:rFonts w:ascii="Arial" w:hAnsi="Arial" w:cs="Arial"/>
                <w:sz w:val="21"/>
                <w:szCs w:val="21"/>
                <w:lang w:val="en-US"/>
              </w:rPr>
              <w:t>W</w:t>
            </w:r>
            <w:r w:rsidRPr="006C5FE9">
              <w:rPr>
                <w:rFonts w:ascii="Arial" w:hAnsi="Arial" w:cs="Arial"/>
                <w:sz w:val="21"/>
                <w:szCs w:val="21"/>
                <w:lang w:val="en-US"/>
              </w:rPr>
              <w:t>orking together across agency boundaries to achieve savings and benefits</w:t>
            </w:r>
            <w:r>
              <w:rPr>
                <w:rFonts w:ascii="Arial" w:hAnsi="Arial" w:cs="Arial"/>
                <w:sz w:val="21"/>
                <w:szCs w:val="21"/>
                <w:lang w:val="en-US"/>
              </w:rPr>
              <w:t>.</w:t>
            </w:r>
          </w:p>
          <w:p w14:paraId="60DFC92C" w14:textId="77777777" w:rsidR="005A0DBC" w:rsidRPr="006C5FE9" w:rsidRDefault="005A0DBC" w:rsidP="005A0DBC">
            <w:pPr>
              <w:pStyle w:val="NormalWeb"/>
              <w:numPr>
                <w:ilvl w:val="0"/>
                <w:numId w:val="3"/>
              </w:numPr>
              <w:spacing w:before="0" w:beforeAutospacing="0" w:after="40" w:afterAutospacing="0"/>
              <w:rPr>
                <w:rFonts w:ascii="Arial" w:hAnsi="Arial" w:cs="Arial"/>
                <w:sz w:val="21"/>
                <w:szCs w:val="21"/>
                <w:lang w:val="en-US"/>
              </w:rPr>
            </w:pPr>
            <w:r>
              <w:rPr>
                <w:rFonts w:ascii="Arial" w:hAnsi="Arial" w:cs="Arial"/>
                <w:sz w:val="21"/>
                <w:szCs w:val="21"/>
                <w:lang w:val="en-US"/>
              </w:rPr>
              <w:t>L</w:t>
            </w:r>
            <w:r w:rsidRPr="006C5FE9">
              <w:rPr>
                <w:rFonts w:ascii="Arial" w:hAnsi="Arial" w:cs="Arial"/>
                <w:sz w:val="21"/>
                <w:szCs w:val="21"/>
                <w:lang w:val="en-US"/>
              </w:rPr>
              <w:t>ead in procurement practice</w:t>
            </w:r>
            <w:r>
              <w:rPr>
                <w:rFonts w:ascii="Arial" w:hAnsi="Arial" w:cs="Arial"/>
                <w:sz w:val="21"/>
                <w:szCs w:val="21"/>
                <w:lang w:val="en-US"/>
              </w:rPr>
              <w:t>—</w:t>
            </w:r>
            <w:r w:rsidRPr="006C5FE9">
              <w:rPr>
                <w:rFonts w:ascii="Arial" w:hAnsi="Arial" w:cs="Arial"/>
                <w:sz w:val="21"/>
                <w:szCs w:val="21"/>
                <w:lang w:val="en-US"/>
              </w:rPr>
              <w:t>understand the department’s needs, the market, our suppliers and have the capability to deliver better outcomes</w:t>
            </w:r>
            <w:r>
              <w:rPr>
                <w:rFonts w:ascii="Arial" w:hAnsi="Arial" w:cs="Arial"/>
                <w:sz w:val="21"/>
                <w:szCs w:val="21"/>
                <w:lang w:val="en-US"/>
              </w:rPr>
              <w:t>.</w:t>
            </w:r>
          </w:p>
          <w:p w14:paraId="04357DF2" w14:textId="77777777" w:rsidR="005A0DBC" w:rsidRPr="006C5FE9" w:rsidRDefault="005A0DBC" w:rsidP="005A0DBC">
            <w:pPr>
              <w:pStyle w:val="NormalWeb"/>
              <w:numPr>
                <w:ilvl w:val="0"/>
                <w:numId w:val="3"/>
              </w:numPr>
              <w:spacing w:before="0" w:beforeAutospacing="0" w:after="40" w:afterAutospacing="0"/>
              <w:rPr>
                <w:rFonts w:ascii="Arial" w:hAnsi="Arial" w:cs="Arial"/>
                <w:sz w:val="21"/>
                <w:szCs w:val="21"/>
                <w:lang w:val="en-US"/>
              </w:rPr>
            </w:pPr>
            <w:r>
              <w:rPr>
                <w:rFonts w:ascii="Arial" w:hAnsi="Arial" w:cs="Arial"/>
                <w:sz w:val="21"/>
                <w:szCs w:val="21"/>
                <w:lang w:val="en-US"/>
              </w:rPr>
              <w:t>U</w:t>
            </w:r>
            <w:r w:rsidRPr="006C5FE9">
              <w:rPr>
                <w:rFonts w:ascii="Arial" w:hAnsi="Arial" w:cs="Arial"/>
                <w:sz w:val="21"/>
                <w:szCs w:val="21"/>
                <w:lang w:val="en-US"/>
              </w:rPr>
              <w:t>se procurement to advance the government's economic, environmental and social objectives and support the long-term wellbeing of our community</w:t>
            </w:r>
            <w:r>
              <w:rPr>
                <w:rFonts w:ascii="Arial" w:hAnsi="Arial" w:cs="Arial"/>
                <w:sz w:val="21"/>
                <w:szCs w:val="21"/>
                <w:lang w:val="en-US"/>
              </w:rPr>
              <w:t>.</w:t>
            </w:r>
          </w:p>
          <w:p w14:paraId="132D620B" w14:textId="77777777" w:rsidR="005A0DBC" w:rsidRPr="006C5FE9" w:rsidRDefault="005A0DBC" w:rsidP="005A0DBC">
            <w:pPr>
              <w:pStyle w:val="NormalWeb"/>
              <w:numPr>
                <w:ilvl w:val="0"/>
                <w:numId w:val="3"/>
              </w:numPr>
              <w:spacing w:before="0" w:beforeAutospacing="0" w:after="40" w:afterAutospacing="0"/>
              <w:rPr>
                <w:rStyle w:val="Strong"/>
                <w:rFonts w:ascii="Arial" w:hAnsi="Arial" w:cs="Arial"/>
                <w:b w:val="0"/>
                <w:bCs w:val="0"/>
                <w:sz w:val="21"/>
                <w:szCs w:val="21"/>
                <w:lang w:val="en-US"/>
              </w:rPr>
            </w:pPr>
            <w:r>
              <w:rPr>
                <w:rFonts w:ascii="Arial" w:hAnsi="Arial" w:cs="Arial"/>
                <w:sz w:val="21"/>
                <w:szCs w:val="21"/>
                <w:lang w:val="en-US"/>
              </w:rPr>
              <w:t>H</w:t>
            </w:r>
            <w:r w:rsidRPr="006C5FE9">
              <w:rPr>
                <w:rFonts w:ascii="Arial" w:hAnsi="Arial" w:cs="Arial"/>
                <w:sz w:val="21"/>
                <w:szCs w:val="21"/>
                <w:lang w:val="en-US"/>
              </w:rPr>
              <w:t>ave the confidence of our stakeholders and the community in the management of procurement</w:t>
            </w:r>
            <w:r>
              <w:rPr>
                <w:rFonts w:ascii="Arial" w:hAnsi="Arial" w:cs="Arial"/>
                <w:sz w:val="21"/>
                <w:szCs w:val="21"/>
                <w:lang w:val="en-US"/>
              </w:rPr>
              <w:t>.</w:t>
            </w:r>
          </w:p>
        </w:tc>
      </w:tr>
      <w:tr w:rsidR="005A0DBC" w:rsidRPr="006C5FE9" w14:paraId="14592204" w14:textId="77777777" w:rsidTr="0040303B">
        <w:trPr>
          <w:trHeight w:val="60"/>
        </w:trPr>
        <w:tc>
          <w:tcPr>
            <w:tcW w:w="9242" w:type="dxa"/>
          </w:tcPr>
          <w:p w14:paraId="3D4828FC" w14:textId="77777777" w:rsidR="005A0DBC" w:rsidRPr="006C5FE9" w:rsidRDefault="005A0DBC" w:rsidP="0040303B">
            <w:pPr>
              <w:pStyle w:val="NormalWeb"/>
              <w:spacing w:before="120" w:beforeAutospacing="0" w:after="120" w:afterAutospacing="0"/>
              <w:rPr>
                <w:rStyle w:val="Strong"/>
                <w:rFonts w:ascii="Arial" w:hAnsi="Arial" w:cs="Arial"/>
                <w:sz w:val="21"/>
                <w:szCs w:val="21"/>
                <w:lang w:val="en-US"/>
              </w:rPr>
            </w:pPr>
          </w:p>
        </w:tc>
      </w:tr>
    </w:tbl>
    <w:p w14:paraId="3A7ABE75" w14:textId="77777777" w:rsidR="005A0DBC" w:rsidRPr="006C5FE9" w:rsidRDefault="005A0DBC" w:rsidP="005A0DBC">
      <w:pPr>
        <w:pStyle w:val="NormalWeb"/>
        <w:spacing w:before="0" w:beforeAutospacing="0" w:after="0" w:afterAutospacing="0"/>
        <w:rPr>
          <w:rFonts w:ascii="Arial" w:hAnsi="Arial" w:cs="Arial"/>
          <w:b/>
          <w:bCs/>
          <w:sz w:val="21"/>
          <w:szCs w:val="21"/>
          <w:lang w:val="en-US"/>
        </w:rPr>
      </w:pPr>
    </w:p>
    <w:p w14:paraId="11E96187" w14:textId="77777777" w:rsidR="005A0DBC" w:rsidRPr="006C5FE9" w:rsidRDefault="005A0DBC" w:rsidP="005A0DBC">
      <w:pPr>
        <w:pStyle w:val="NormalWeb"/>
        <w:spacing w:before="0" w:beforeAutospacing="0" w:after="240" w:afterAutospacing="0"/>
        <w:rPr>
          <w:rStyle w:val="Strong"/>
          <w:rFonts w:ascii="Arial" w:hAnsi="Arial" w:cs="Arial"/>
          <w:sz w:val="21"/>
          <w:szCs w:val="21"/>
          <w:lang w:val="en-US"/>
        </w:rPr>
      </w:pPr>
      <w:r w:rsidRPr="006C5FE9">
        <w:rPr>
          <w:rStyle w:val="Strong"/>
          <w:rFonts w:ascii="Arial" w:hAnsi="Arial" w:cs="Arial"/>
          <w:sz w:val="21"/>
          <w:szCs w:val="21"/>
          <w:lang w:val="en-US"/>
        </w:rPr>
        <w:t>Value for money</w:t>
      </w:r>
    </w:p>
    <w:p w14:paraId="414F3569" w14:textId="77777777" w:rsidR="005A0DBC" w:rsidRPr="005A0DBC" w:rsidRDefault="005A0DBC" w:rsidP="005A0DBC">
      <w:pPr>
        <w:pStyle w:val="Default"/>
        <w:spacing w:after="240"/>
        <w:rPr>
          <w:rStyle w:val="Strong"/>
          <w:sz w:val="21"/>
          <w:szCs w:val="21"/>
          <w:lang w:val="en-US"/>
        </w:rPr>
      </w:pPr>
      <w:r w:rsidRPr="005A0DBC">
        <w:rPr>
          <w:rStyle w:val="Strong"/>
          <w:b w:val="0"/>
          <w:sz w:val="21"/>
          <w:szCs w:val="21"/>
          <w:lang w:val="en-US"/>
        </w:rPr>
        <w:t xml:space="preserve">The primary principle is to drive value for money in procuring high quality goods and services. Price alone will not always be the sole indicator of value. For further information refer to the </w:t>
      </w:r>
      <w:hyperlink r:id="rId9" w:history="1">
        <w:r w:rsidRPr="005A0DBC">
          <w:rPr>
            <w:rStyle w:val="Hyperlink"/>
            <w:sz w:val="21"/>
            <w:szCs w:val="21"/>
            <w:lang w:val="en-US"/>
          </w:rPr>
          <w:t>DPC Procurement Guidelines</w:t>
        </w:r>
      </w:hyperlink>
      <w:r w:rsidRPr="005A0DBC">
        <w:rPr>
          <w:rStyle w:val="Strong"/>
          <w:sz w:val="21"/>
          <w:szCs w:val="21"/>
          <w:lang w:val="en-US"/>
        </w:rPr>
        <w:t>.</w:t>
      </w:r>
    </w:p>
    <w:p w14:paraId="16C0CDEC" w14:textId="77777777" w:rsidR="005A0DBC" w:rsidRPr="006C5FE9" w:rsidRDefault="005A0DBC" w:rsidP="005A0DBC">
      <w:pPr>
        <w:pStyle w:val="Default"/>
        <w:spacing w:before="120" w:after="100" w:afterAutospacing="1"/>
        <w:rPr>
          <w:rStyle w:val="Strong"/>
          <w:sz w:val="21"/>
          <w:szCs w:val="21"/>
          <w:lang w:val="en-US"/>
        </w:rPr>
      </w:pPr>
      <w:r w:rsidRPr="006C5FE9">
        <w:rPr>
          <w:rStyle w:val="Strong"/>
          <w:sz w:val="21"/>
          <w:szCs w:val="21"/>
          <w:lang w:val="en-US"/>
        </w:rPr>
        <w:t>Responsibilities</w:t>
      </w:r>
    </w:p>
    <w:p w14:paraId="7DA882DD" w14:textId="77777777" w:rsidR="005A0DBC" w:rsidRPr="005A0DBC" w:rsidRDefault="005A0DBC" w:rsidP="005A0DBC">
      <w:pPr>
        <w:pStyle w:val="Default"/>
        <w:spacing w:before="120" w:after="120"/>
        <w:rPr>
          <w:rStyle w:val="Strong"/>
          <w:b w:val="0"/>
          <w:sz w:val="21"/>
          <w:szCs w:val="21"/>
          <w:lang w:val="en-US"/>
        </w:rPr>
      </w:pPr>
      <w:r w:rsidRPr="005A0DBC">
        <w:rPr>
          <w:rStyle w:val="Strong"/>
          <w:b w:val="0"/>
          <w:sz w:val="21"/>
          <w:szCs w:val="21"/>
          <w:u w:val="single"/>
          <w:lang w:val="en-US"/>
        </w:rPr>
        <w:t>All Staff</w:t>
      </w:r>
      <w:r w:rsidRPr="005A0DBC">
        <w:rPr>
          <w:rStyle w:val="Strong"/>
          <w:b w:val="0"/>
          <w:sz w:val="21"/>
          <w:szCs w:val="21"/>
          <w:lang w:val="en-US"/>
        </w:rPr>
        <w:t xml:space="preserve"> – must undertake procurement activities in line with this policy, the DPC Procurement Guidelines and the Code of Conduct for the Queensland Public Service. </w:t>
      </w:r>
    </w:p>
    <w:p w14:paraId="44B157F7" w14:textId="77777777" w:rsidR="005A0DBC" w:rsidRPr="005A0DBC" w:rsidRDefault="005A0DBC" w:rsidP="005A0DBC">
      <w:pPr>
        <w:pStyle w:val="NormalWeb"/>
        <w:spacing w:before="0" w:beforeAutospacing="0" w:after="120" w:afterAutospacing="0"/>
        <w:rPr>
          <w:rStyle w:val="Strong"/>
          <w:rFonts w:ascii="Arial" w:hAnsi="Arial" w:cs="Arial"/>
          <w:b w:val="0"/>
          <w:sz w:val="21"/>
          <w:szCs w:val="21"/>
          <w:lang w:val="en-US"/>
        </w:rPr>
      </w:pPr>
      <w:r w:rsidRPr="005A0DBC">
        <w:rPr>
          <w:rStyle w:val="Strong"/>
          <w:rFonts w:ascii="Arial" w:hAnsi="Arial" w:cs="Arial"/>
          <w:b w:val="0"/>
          <w:sz w:val="21"/>
          <w:szCs w:val="21"/>
          <w:u w:val="single"/>
          <w:lang w:val="en-US"/>
        </w:rPr>
        <w:t>Procurement Services</w:t>
      </w:r>
      <w:r w:rsidRPr="005A0DBC">
        <w:rPr>
          <w:rStyle w:val="Strong"/>
          <w:rFonts w:ascii="Arial" w:hAnsi="Arial" w:cs="Arial"/>
          <w:b w:val="0"/>
          <w:sz w:val="21"/>
          <w:szCs w:val="21"/>
          <w:lang w:val="en-US"/>
        </w:rPr>
        <w:t xml:space="preserve"> – will provide the necessary advice and tools to enable staff to undertake procurement activities in line with this policy.  </w:t>
      </w:r>
    </w:p>
    <w:p w14:paraId="628865FC" w14:textId="77777777" w:rsidR="005A0DBC" w:rsidRPr="005A0DBC" w:rsidRDefault="005A0DBC" w:rsidP="005A0DBC">
      <w:pPr>
        <w:pStyle w:val="Default"/>
        <w:spacing w:after="120"/>
        <w:rPr>
          <w:b/>
          <w:sz w:val="21"/>
          <w:szCs w:val="21"/>
        </w:rPr>
      </w:pPr>
      <w:r w:rsidRPr="005A0DBC">
        <w:rPr>
          <w:rStyle w:val="Strong"/>
          <w:b w:val="0"/>
          <w:sz w:val="21"/>
          <w:szCs w:val="21"/>
          <w:u w:val="single"/>
          <w:lang w:val="en-US"/>
        </w:rPr>
        <w:t>Expenditure Delegates</w:t>
      </w:r>
      <w:r w:rsidRPr="005A0DBC">
        <w:rPr>
          <w:rStyle w:val="Strong"/>
          <w:b w:val="0"/>
          <w:sz w:val="21"/>
          <w:szCs w:val="21"/>
          <w:lang w:val="en-US"/>
        </w:rPr>
        <w:t xml:space="preserve"> – </w:t>
      </w:r>
      <w:r w:rsidRPr="005A0DBC">
        <w:rPr>
          <w:sz w:val="21"/>
          <w:szCs w:val="21"/>
        </w:rPr>
        <w:t xml:space="preserve">must satisfy themselves that </w:t>
      </w:r>
      <w:r w:rsidRPr="005A0DBC">
        <w:rPr>
          <w:rStyle w:val="Strong"/>
          <w:b w:val="0"/>
          <w:sz w:val="21"/>
          <w:szCs w:val="21"/>
          <w:lang w:val="en-US"/>
        </w:rPr>
        <w:t xml:space="preserve">procurement activities for their area of financial responsibility have been undertaken in line with </w:t>
      </w:r>
      <w:r w:rsidRPr="005A0DBC">
        <w:rPr>
          <w:rStyle w:val="Hyperlink"/>
          <w:rFonts w:eastAsia="Times New Roman"/>
          <w:bCs/>
          <w:sz w:val="21"/>
          <w:szCs w:val="21"/>
        </w:rPr>
        <w:t>department expenditure delegations</w:t>
      </w:r>
      <w:r w:rsidRPr="005A0DBC">
        <w:rPr>
          <w:rStyle w:val="Strong"/>
          <w:b w:val="0"/>
          <w:sz w:val="21"/>
          <w:szCs w:val="21"/>
          <w:lang w:val="en-US"/>
        </w:rPr>
        <w:t xml:space="preserve">, this policy and </w:t>
      </w:r>
      <w:r w:rsidRPr="005A0DBC">
        <w:rPr>
          <w:bCs/>
          <w:sz w:val="21"/>
          <w:szCs w:val="21"/>
        </w:rPr>
        <w:t xml:space="preserve">the </w:t>
      </w:r>
      <w:r w:rsidRPr="005A0DBC">
        <w:rPr>
          <w:sz w:val="21"/>
          <w:szCs w:val="21"/>
        </w:rPr>
        <w:t>Procurement Guidelines</w:t>
      </w:r>
      <w:r w:rsidRPr="005A0DBC">
        <w:rPr>
          <w:bCs/>
          <w:sz w:val="21"/>
          <w:szCs w:val="21"/>
        </w:rPr>
        <w:t>.</w:t>
      </w:r>
      <w:r w:rsidRPr="005A0DBC">
        <w:rPr>
          <w:b/>
          <w:sz w:val="21"/>
          <w:szCs w:val="21"/>
        </w:rPr>
        <w:t xml:space="preserve"> </w:t>
      </w:r>
    </w:p>
    <w:p w14:paraId="25BD6AC9" w14:textId="77777777" w:rsidR="005A0DBC" w:rsidRDefault="005A0DBC" w:rsidP="005A0DBC">
      <w:pPr>
        <w:pStyle w:val="NormalWeb"/>
        <w:spacing w:before="0" w:beforeAutospacing="0" w:after="240" w:afterAutospacing="0"/>
        <w:rPr>
          <w:rStyle w:val="Strong"/>
          <w:rFonts w:ascii="Arial" w:hAnsi="Arial" w:cs="Arial"/>
          <w:b w:val="0"/>
          <w:sz w:val="21"/>
          <w:szCs w:val="21"/>
          <w:lang w:val="en-US"/>
        </w:rPr>
      </w:pPr>
      <w:r w:rsidRPr="005A0DBC">
        <w:rPr>
          <w:rStyle w:val="Strong"/>
          <w:rFonts w:ascii="Arial" w:hAnsi="Arial" w:cs="Arial"/>
          <w:b w:val="0"/>
          <w:sz w:val="21"/>
          <w:szCs w:val="21"/>
          <w:u w:val="single"/>
          <w:lang w:val="en-US"/>
        </w:rPr>
        <w:t>Chief Procurement Officer</w:t>
      </w:r>
      <w:r w:rsidRPr="005A0DBC">
        <w:rPr>
          <w:rStyle w:val="Strong"/>
          <w:rFonts w:ascii="Arial" w:hAnsi="Arial" w:cs="Arial"/>
          <w:b w:val="0"/>
          <w:sz w:val="21"/>
          <w:szCs w:val="21"/>
          <w:lang w:val="en-US"/>
        </w:rPr>
        <w:t xml:space="preserve"> – must ensure that this departmental policy adheres to the overarching Queensland Procurement Policy and monitor and report the department’s compliance.</w:t>
      </w:r>
    </w:p>
    <w:p w14:paraId="6EB66C9F" w14:textId="77777777" w:rsidR="005A0DBC" w:rsidRPr="006C5FE9" w:rsidRDefault="005A0DBC" w:rsidP="005A0DBC">
      <w:pPr>
        <w:pStyle w:val="NormalWeb"/>
        <w:spacing w:before="120" w:beforeAutospacing="0" w:after="240" w:afterAutospacing="0"/>
        <w:rPr>
          <w:rFonts w:ascii="Arial" w:eastAsia="PMingLiU" w:hAnsi="Arial" w:cs="Arial"/>
          <w:b/>
          <w:color w:val="auto"/>
          <w:sz w:val="21"/>
          <w:szCs w:val="21"/>
        </w:rPr>
      </w:pPr>
      <w:r w:rsidRPr="006C5FE9">
        <w:rPr>
          <w:rFonts w:ascii="Arial" w:eastAsia="PMingLiU" w:hAnsi="Arial" w:cs="Arial"/>
          <w:b/>
          <w:color w:val="auto"/>
          <w:sz w:val="21"/>
          <w:szCs w:val="21"/>
        </w:rPr>
        <w:t>Procurement Approvals</w:t>
      </w:r>
    </w:p>
    <w:p w14:paraId="6771F42A" w14:textId="77777777" w:rsidR="005A0DBC" w:rsidRPr="006C5FE9" w:rsidRDefault="005A0DBC" w:rsidP="005A0DBC">
      <w:pPr>
        <w:pStyle w:val="NormalWeb"/>
        <w:spacing w:before="120" w:beforeAutospacing="0" w:after="0" w:afterAutospacing="0"/>
        <w:rPr>
          <w:rFonts w:ascii="Arial" w:hAnsi="Arial" w:cs="Arial"/>
          <w:b/>
          <w:sz w:val="21"/>
          <w:szCs w:val="21"/>
        </w:rPr>
      </w:pPr>
      <w:r w:rsidRPr="006C5FE9">
        <w:rPr>
          <w:rFonts w:ascii="Arial" w:hAnsi="Arial" w:cs="Arial"/>
          <w:sz w:val="21"/>
          <w:szCs w:val="21"/>
        </w:rPr>
        <w:lastRenderedPageBreak/>
        <w:t xml:space="preserve">All procurements are to be approved by the relevant expenditure delegate in line with </w:t>
      </w:r>
      <w:hyperlink r:id="rId10" w:history="1">
        <w:r w:rsidRPr="006C5FE9">
          <w:rPr>
            <w:rStyle w:val="Hyperlink"/>
            <w:rFonts w:ascii="Arial" w:hAnsi="Arial" w:cs="Arial"/>
            <w:sz w:val="21"/>
            <w:szCs w:val="21"/>
          </w:rPr>
          <w:t>department expenditure delegations</w:t>
        </w:r>
      </w:hyperlink>
      <w:r w:rsidRPr="006C5FE9">
        <w:rPr>
          <w:rFonts w:ascii="Arial" w:hAnsi="Arial" w:cs="Arial"/>
          <w:sz w:val="21"/>
          <w:szCs w:val="21"/>
        </w:rPr>
        <w:t xml:space="preserve">.  For all procurements of </w:t>
      </w:r>
      <w:r w:rsidRPr="006C5FE9">
        <w:rPr>
          <w:rFonts w:ascii="Arial" w:hAnsi="Arial" w:cs="Arial"/>
          <w:b/>
          <w:sz w:val="21"/>
          <w:szCs w:val="21"/>
        </w:rPr>
        <w:t>contractors or consultants</w:t>
      </w:r>
      <w:r w:rsidRPr="006C5FE9">
        <w:rPr>
          <w:rFonts w:ascii="Arial" w:hAnsi="Arial" w:cs="Arial"/>
          <w:sz w:val="21"/>
          <w:szCs w:val="21"/>
        </w:rPr>
        <w:t xml:space="preserve"> valued at </w:t>
      </w:r>
      <w:r w:rsidRPr="006C5FE9">
        <w:rPr>
          <w:rFonts w:ascii="Arial" w:hAnsi="Arial" w:cs="Arial"/>
          <w:b/>
          <w:sz w:val="21"/>
          <w:szCs w:val="21"/>
        </w:rPr>
        <w:t xml:space="preserve">$50,000 </w:t>
      </w:r>
      <w:r w:rsidRPr="006C5FE9">
        <w:rPr>
          <w:rFonts w:ascii="Arial" w:hAnsi="Arial" w:cs="Arial"/>
          <w:sz w:val="21"/>
          <w:szCs w:val="21"/>
        </w:rPr>
        <w:t>or over GST inclusive, approval to initiate the procurement process is required from the Chief Operating Officer or Parliamentary Counsel (OQPC only).</w:t>
      </w:r>
      <w:r w:rsidRPr="006C5FE9">
        <w:rPr>
          <w:rFonts w:ascii="Arial" w:hAnsi="Arial" w:cs="Arial"/>
          <w:b/>
          <w:sz w:val="21"/>
          <w:szCs w:val="21"/>
        </w:rPr>
        <w:t xml:space="preserve"> </w:t>
      </w:r>
    </w:p>
    <w:p w14:paraId="19B0D863" w14:textId="77777777" w:rsidR="005A0DBC" w:rsidRPr="006C5FE9" w:rsidRDefault="005A0DBC" w:rsidP="005A0DBC">
      <w:pPr>
        <w:spacing w:before="240" w:after="120" w:line="240" w:lineRule="auto"/>
        <w:rPr>
          <w:rFonts w:ascii="Arial" w:eastAsia="PMingLiU" w:hAnsi="Arial" w:cs="Arial"/>
          <w:b/>
          <w:sz w:val="21"/>
          <w:szCs w:val="21"/>
        </w:rPr>
      </w:pPr>
      <w:r w:rsidRPr="006C5FE9">
        <w:rPr>
          <w:rFonts w:ascii="Arial" w:eastAsia="PMingLiU" w:hAnsi="Arial" w:cs="Arial"/>
          <w:b/>
          <w:sz w:val="21"/>
          <w:szCs w:val="21"/>
        </w:rPr>
        <w:t xml:space="preserve">Contract Variations </w:t>
      </w:r>
    </w:p>
    <w:p w14:paraId="3069FB5F" w14:textId="77777777" w:rsidR="005A0DBC" w:rsidRPr="006C5FE9" w:rsidRDefault="005A0DBC" w:rsidP="005A0DBC">
      <w:pPr>
        <w:spacing w:before="120" w:after="0" w:line="240" w:lineRule="auto"/>
        <w:rPr>
          <w:rFonts w:ascii="Arial" w:hAnsi="Arial" w:cs="Arial"/>
          <w:sz w:val="21"/>
          <w:szCs w:val="21"/>
        </w:rPr>
      </w:pPr>
      <w:r w:rsidRPr="006C5FE9">
        <w:rPr>
          <w:rFonts w:ascii="Arial" w:hAnsi="Arial" w:cs="Arial"/>
          <w:sz w:val="21"/>
          <w:szCs w:val="21"/>
        </w:rPr>
        <w:t xml:space="preserve">When the scope and/or price changes from that which was initially approved, approval for the revised arrangement is be sought from the original approving officer.  Where the total value (original cost plus variation) of the revised arrangement variation exceeds the original approving officer’s expenditure delegation, then approval must be sought from the next highest delegate. </w:t>
      </w:r>
    </w:p>
    <w:p w14:paraId="6CDD4832" w14:textId="77777777" w:rsidR="005A0DBC" w:rsidRPr="006C5FE9" w:rsidRDefault="005A0DBC" w:rsidP="005A0DBC">
      <w:pPr>
        <w:spacing w:before="120" w:after="0" w:line="240" w:lineRule="auto"/>
        <w:rPr>
          <w:rFonts w:ascii="Arial" w:hAnsi="Arial" w:cs="Arial"/>
          <w:sz w:val="21"/>
          <w:szCs w:val="21"/>
        </w:rPr>
      </w:pPr>
      <w:r w:rsidRPr="006C5FE9">
        <w:rPr>
          <w:rFonts w:ascii="Arial" w:hAnsi="Arial" w:cs="Arial"/>
          <w:sz w:val="21"/>
          <w:szCs w:val="21"/>
        </w:rPr>
        <w:t xml:space="preserve">Where the total value (original cost plus variation) of the revised arrangement for a contractor or consultant is equal to or exceeds $50,000 GST inclusive, approval must also be sought from the Chief Operating Officer or Parliamentary Counsel (OQPC only). </w:t>
      </w:r>
    </w:p>
    <w:p w14:paraId="00279A75" w14:textId="77777777" w:rsidR="005A0DBC" w:rsidRPr="006C5FE9" w:rsidRDefault="005A0DBC" w:rsidP="005A0DBC">
      <w:pPr>
        <w:spacing w:before="240" w:after="0" w:line="240" w:lineRule="auto"/>
        <w:rPr>
          <w:rFonts w:ascii="Arial" w:hAnsi="Arial" w:cs="Arial"/>
          <w:sz w:val="21"/>
          <w:szCs w:val="21"/>
        </w:rPr>
      </w:pPr>
      <w:r w:rsidRPr="006C5FE9">
        <w:rPr>
          <w:rFonts w:ascii="Arial" w:eastAsia="PMingLiU" w:hAnsi="Arial" w:cs="Arial"/>
          <w:b/>
          <w:sz w:val="21"/>
          <w:szCs w:val="21"/>
        </w:rPr>
        <w:t>Quotes and Cost Estimates</w:t>
      </w:r>
    </w:p>
    <w:p w14:paraId="0A5D2A63" w14:textId="77777777" w:rsidR="005A0DBC" w:rsidRPr="006C5FE9" w:rsidRDefault="005A0DBC" w:rsidP="005A0DBC">
      <w:pPr>
        <w:spacing w:before="120" w:after="120" w:line="240" w:lineRule="auto"/>
        <w:rPr>
          <w:rFonts w:ascii="Arial" w:hAnsi="Arial" w:cs="Arial"/>
          <w:sz w:val="21"/>
          <w:szCs w:val="21"/>
          <w:u w:val="single"/>
        </w:rPr>
      </w:pPr>
      <w:r w:rsidRPr="006C5FE9">
        <w:rPr>
          <w:rFonts w:ascii="Arial" w:hAnsi="Arial" w:cs="Arial"/>
          <w:sz w:val="21"/>
          <w:szCs w:val="21"/>
          <w:u w:val="single"/>
        </w:rPr>
        <w:t>Purchases not from a standing offer arrangement</w:t>
      </w:r>
    </w:p>
    <w:p w14:paraId="332FCE11" w14:textId="77777777" w:rsidR="005A0DBC" w:rsidRPr="006C5FE9" w:rsidRDefault="005A0DBC" w:rsidP="005A0DBC">
      <w:pPr>
        <w:spacing w:before="120" w:after="120" w:line="240" w:lineRule="auto"/>
        <w:rPr>
          <w:rFonts w:ascii="Arial" w:hAnsi="Arial" w:cs="Arial"/>
          <w:sz w:val="21"/>
          <w:szCs w:val="21"/>
        </w:rPr>
      </w:pPr>
      <w:r w:rsidRPr="006C5FE9">
        <w:rPr>
          <w:rFonts w:ascii="Arial" w:hAnsi="Arial" w:cs="Arial"/>
          <w:sz w:val="21"/>
          <w:szCs w:val="21"/>
        </w:rPr>
        <w:t xml:space="preserve">The quotation requirements provided in the table below are the minimum needed.  Additional quotes or undertaking a tender process should be considered where appropriate. For further information, please refer to the Procurement Guidelines. </w:t>
      </w:r>
    </w:p>
    <w:p w14:paraId="4C012993" w14:textId="77777777" w:rsidR="005A0DBC" w:rsidRPr="006C5FE9" w:rsidRDefault="005A0DBC" w:rsidP="005A0DBC">
      <w:pPr>
        <w:spacing w:before="120" w:after="120" w:line="240" w:lineRule="auto"/>
        <w:rPr>
          <w:rFonts w:ascii="Arial" w:hAnsi="Arial" w:cs="Arial"/>
          <w:sz w:val="21"/>
          <w:szCs w:val="21"/>
          <w:u w:val="single"/>
        </w:rPr>
      </w:pPr>
      <w:r w:rsidRPr="006C5FE9">
        <w:rPr>
          <w:rFonts w:ascii="Arial" w:hAnsi="Arial" w:cs="Arial"/>
          <w:sz w:val="21"/>
          <w:szCs w:val="21"/>
          <w:u w:val="single"/>
        </w:rPr>
        <w:t>Purchases from a standing offer arrangement</w:t>
      </w:r>
    </w:p>
    <w:p w14:paraId="63A4BAF6" w14:textId="77777777" w:rsidR="005A0DBC" w:rsidRPr="006C5FE9" w:rsidRDefault="005A0DBC" w:rsidP="005A0DBC">
      <w:pPr>
        <w:spacing w:after="0" w:line="240" w:lineRule="auto"/>
        <w:rPr>
          <w:rFonts w:ascii="Arial" w:hAnsi="Arial" w:cs="Arial"/>
          <w:sz w:val="21"/>
          <w:szCs w:val="21"/>
        </w:rPr>
      </w:pPr>
      <w:r w:rsidRPr="006C5FE9">
        <w:rPr>
          <w:rFonts w:ascii="Arial" w:hAnsi="Arial" w:cs="Arial"/>
          <w:sz w:val="21"/>
          <w:szCs w:val="21"/>
        </w:rPr>
        <w:t xml:space="preserve">Goods and services purchased from a standing offer arrangement (SOA) are not subject to the minimum quotation requirements above, however obtaining quotes is considered better practice. </w:t>
      </w:r>
    </w:p>
    <w:p w14:paraId="41A56DB2" w14:textId="77777777" w:rsidR="005A0DBC" w:rsidRPr="006C5FE9" w:rsidRDefault="005A0DBC" w:rsidP="005A0DBC">
      <w:pPr>
        <w:spacing w:after="0" w:line="240" w:lineRule="auto"/>
        <w:rPr>
          <w:rFonts w:ascii="Arial" w:hAnsi="Arial" w:cs="Arial"/>
          <w:sz w:val="21"/>
          <w:szCs w:val="21"/>
        </w:rPr>
      </w:pPr>
    </w:p>
    <w:p w14:paraId="026E28F3" w14:textId="77777777" w:rsidR="005A0DBC" w:rsidRPr="006C5FE9" w:rsidRDefault="005A0DBC" w:rsidP="005A0DBC">
      <w:pPr>
        <w:spacing w:after="0" w:line="240" w:lineRule="auto"/>
        <w:rPr>
          <w:rFonts w:ascii="Arial" w:hAnsi="Arial" w:cs="Arial"/>
          <w:sz w:val="21"/>
          <w:szCs w:val="21"/>
        </w:rPr>
      </w:pPr>
      <w:r>
        <w:rPr>
          <w:noProof/>
          <w:sz w:val="21"/>
          <w:szCs w:val="21"/>
        </w:rPr>
        <w:object w:dxaOrig="1440" w:dyaOrig="1440" w14:anchorId="434BF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62.25pt;height:266.25pt;z-index:251659264;mso-position-horizontal:left;mso-position-horizontal-relative:text;mso-position-vertical-relative:text">
            <v:imagedata r:id="rId11" o:title="" croptop="4404f" cropbottom="3463f" cropleft="5380f" cropright="6331f"/>
            <w10:wrap type="square" side="right"/>
          </v:shape>
          <o:OLEObject Type="Embed" ProgID="AcroExch.Document.DC" ShapeID="_x0000_s1026" DrawAspect="Content" ObjectID="_1514016922" r:id="rId12"/>
        </w:object>
      </w:r>
      <w:r>
        <w:rPr>
          <w:rFonts w:ascii="Arial" w:hAnsi="Arial" w:cs="Arial"/>
          <w:sz w:val="21"/>
          <w:szCs w:val="21"/>
        </w:rPr>
        <w:br w:type="textWrapping" w:clear="all"/>
      </w:r>
    </w:p>
    <w:p w14:paraId="5725993D" w14:textId="77777777" w:rsidR="005A0DBC" w:rsidRDefault="005A0DBC">
      <w:pPr>
        <w:spacing w:after="160" w:line="259" w:lineRule="auto"/>
        <w:rPr>
          <w:rStyle w:val="Strong"/>
          <w:rFonts w:ascii="Arial" w:eastAsia="Times New Roman" w:hAnsi="Arial" w:cs="Arial"/>
          <w:color w:val="000000"/>
          <w:sz w:val="21"/>
          <w:szCs w:val="21"/>
          <w:lang w:val="en-US" w:eastAsia="en-AU"/>
        </w:rPr>
      </w:pPr>
      <w:r>
        <w:rPr>
          <w:rStyle w:val="Strong"/>
          <w:rFonts w:ascii="Arial" w:hAnsi="Arial" w:cs="Arial"/>
          <w:sz w:val="21"/>
          <w:szCs w:val="21"/>
          <w:lang w:val="en-US"/>
        </w:rPr>
        <w:br w:type="page"/>
      </w:r>
    </w:p>
    <w:p w14:paraId="5874A462" w14:textId="77777777" w:rsidR="005A0DBC" w:rsidRPr="006C5FE9" w:rsidRDefault="005A0DBC" w:rsidP="005A0DBC">
      <w:pPr>
        <w:pStyle w:val="NormalWeb"/>
        <w:spacing w:before="240" w:beforeAutospacing="0" w:after="120" w:afterAutospacing="0"/>
        <w:rPr>
          <w:rStyle w:val="Strong"/>
          <w:rFonts w:ascii="Arial" w:hAnsi="Arial" w:cs="Arial"/>
          <w:sz w:val="21"/>
          <w:szCs w:val="21"/>
          <w:lang w:val="en-US"/>
        </w:rPr>
      </w:pPr>
      <w:r w:rsidRPr="006C5FE9">
        <w:rPr>
          <w:rStyle w:val="Strong"/>
          <w:rFonts w:ascii="Arial" w:hAnsi="Arial" w:cs="Arial"/>
          <w:sz w:val="21"/>
          <w:szCs w:val="21"/>
          <w:lang w:val="en-US"/>
        </w:rPr>
        <w:lastRenderedPageBreak/>
        <w:t>Standing Offer Arrangements</w:t>
      </w:r>
    </w:p>
    <w:p w14:paraId="0DD331AD" w14:textId="77777777" w:rsidR="005A0DBC" w:rsidRPr="006C5FE9" w:rsidRDefault="005A0DBC" w:rsidP="005A0DBC">
      <w:pPr>
        <w:spacing w:after="120" w:line="240" w:lineRule="auto"/>
        <w:rPr>
          <w:rFonts w:ascii="Arial" w:hAnsi="Arial" w:cs="Arial"/>
          <w:sz w:val="21"/>
          <w:szCs w:val="21"/>
        </w:rPr>
      </w:pPr>
      <w:r w:rsidRPr="006C5FE9">
        <w:rPr>
          <w:rFonts w:ascii="Arial" w:hAnsi="Arial" w:cs="Arial"/>
          <w:sz w:val="21"/>
          <w:szCs w:val="21"/>
        </w:rPr>
        <w:t>SOAs are arrangements that have already been established and which may be used by the department to access specific goods and services. SOAs may include registers of pre-qualified suppliers, panel arrangements or preferred supplier arrangements.</w:t>
      </w:r>
    </w:p>
    <w:p w14:paraId="7A2566CD" w14:textId="77777777" w:rsidR="005A0DBC" w:rsidRPr="006C5FE9" w:rsidRDefault="005A0DBC" w:rsidP="005A0DBC">
      <w:pPr>
        <w:spacing w:after="120" w:line="240" w:lineRule="auto"/>
        <w:rPr>
          <w:rFonts w:ascii="Arial" w:hAnsi="Arial" w:cs="Arial"/>
          <w:sz w:val="21"/>
          <w:szCs w:val="21"/>
        </w:rPr>
      </w:pPr>
      <w:r w:rsidRPr="006C5FE9">
        <w:rPr>
          <w:rFonts w:ascii="Arial" w:hAnsi="Arial" w:cs="Arial"/>
          <w:sz w:val="21"/>
          <w:szCs w:val="21"/>
        </w:rPr>
        <w:t>In the first instance, existing SOAs should be considered to determine if any suitable arrangement exists to meet the department’s needs. The DPC procurement team is able to provide you with an up-to-date SOA listing upon request.</w:t>
      </w:r>
    </w:p>
    <w:p w14:paraId="07E5C614" w14:textId="77777777" w:rsidR="005A0DBC" w:rsidRPr="006C5FE9" w:rsidRDefault="005A0DBC" w:rsidP="005A0DBC">
      <w:pPr>
        <w:spacing w:before="240" w:after="120" w:line="240" w:lineRule="auto"/>
        <w:rPr>
          <w:rFonts w:ascii="Arial" w:hAnsi="Arial" w:cs="Arial"/>
          <w:sz w:val="21"/>
          <w:szCs w:val="21"/>
        </w:rPr>
      </w:pPr>
      <w:r w:rsidRPr="006C5FE9">
        <w:rPr>
          <w:rFonts w:ascii="Arial" w:eastAsia="PMingLiU" w:hAnsi="Arial" w:cs="Arial"/>
          <w:b/>
          <w:sz w:val="21"/>
          <w:szCs w:val="21"/>
        </w:rPr>
        <w:t>Policy Departures</w:t>
      </w:r>
    </w:p>
    <w:p w14:paraId="14ECADA2" w14:textId="77777777" w:rsidR="005A0DBC" w:rsidRPr="006C5FE9" w:rsidRDefault="005A0DBC" w:rsidP="005A0DBC">
      <w:pPr>
        <w:spacing w:before="120" w:after="0" w:line="240" w:lineRule="auto"/>
        <w:rPr>
          <w:rFonts w:ascii="Arial" w:hAnsi="Arial" w:cs="Arial"/>
          <w:sz w:val="21"/>
          <w:szCs w:val="21"/>
        </w:rPr>
      </w:pPr>
      <w:r w:rsidRPr="006C5FE9">
        <w:rPr>
          <w:rFonts w:ascii="Arial" w:hAnsi="Arial" w:cs="Arial"/>
          <w:sz w:val="21"/>
          <w:szCs w:val="21"/>
        </w:rPr>
        <w:t>The Chief Operating Officer can approve a departure from this process based on exceptional circumstances. These circumstances may include the need to maintain continuity of services, to prevent disruption to departmental operations and/or where there is a sound business reason on the grounds of urgency, the need for confidentiality or market conditions.</w:t>
      </w:r>
    </w:p>
    <w:p w14:paraId="56CDD473" w14:textId="77777777" w:rsidR="006C46C5" w:rsidRDefault="006C46C5"/>
    <w:p w14:paraId="315C2D40" w14:textId="77777777" w:rsidR="006C46C5" w:rsidRPr="006C46C5" w:rsidRDefault="006C46C5" w:rsidP="006C46C5"/>
    <w:p w14:paraId="3840B230" w14:textId="77777777" w:rsidR="006C46C5" w:rsidRPr="006C46C5" w:rsidRDefault="006C46C5" w:rsidP="006C46C5"/>
    <w:p w14:paraId="2500AF49" w14:textId="77777777" w:rsidR="006C46C5" w:rsidRPr="006C46C5" w:rsidRDefault="006C46C5" w:rsidP="006C46C5"/>
    <w:p w14:paraId="265140D0" w14:textId="77777777" w:rsidR="006C46C5" w:rsidRPr="006C46C5" w:rsidRDefault="006C46C5" w:rsidP="006C46C5"/>
    <w:p w14:paraId="1630355F" w14:textId="77777777" w:rsidR="006C46C5" w:rsidRPr="006C46C5" w:rsidRDefault="006C46C5" w:rsidP="006C46C5"/>
    <w:p w14:paraId="527C2DC4" w14:textId="77777777" w:rsidR="006C46C5" w:rsidRPr="006C46C5" w:rsidRDefault="006C46C5" w:rsidP="006C46C5"/>
    <w:p w14:paraId="00F49126" w14:textId="77777777" w:rsidR="006C46C5" w:rsidRPr="006C46C5" w:rsidRDefault="006C46C5" w:rsidP="006C46C5"/>
    <w:p w14:paraId="41710338" w14:textId="77777777" w:rsidR="006C46C5" w:rsidRPr="006C46C5" w:rsidRDefault="006C46C5" w:rsidP="006C46C5"/>
    <w:p w14:paraId="27955FD3" w14:textId="77777777" w:rsidR="006C46C5" w:rsidRPr="006C46C5" w:rsidRDefault="006C46C5" w:rsidP="006C46C5"/>
    <w:p w14:paraId="2889F6D9" w14:textId="77777777" w:rsidR="006C46C5" w:rsidRPr="006C46C5" w:rsidRDefault="006C46C5" w:rsidP="006C46C5"/>
    <w:p w14:paraId="4FCFAA76" w14:textId="77777777" w:rsidR="006C46C5" w:rsidRPr="006C46C5" w:rsidRDefault="006C46C5" w:rsidP="006C46C5"/>
    <w:p w14:paraId="6CCB6394" w14:textId="77777777" w:rsidR="006C46C5" w:rsidRPr="006C46C5" w:rsidRDefault="006C46C5" w:rsidP="006C46C5"/>
    <w:p w14:paraId="51B8287D" w14:textId="77777777" w:rsidR="006C46C5" w:rsidRPr="006C46C5" w:rsidRDefault="006C46C5" w:rsidP="006C46C5"/>
    <w:p w14:paraId="20F629D7" w14:textId="77777777" w:rsidR="006C46C5" w:rsidRPr="006C46C5" w:rsidRDefault="006C46C5" w:rsidP="006C46C5"/>
    <w:p w14:paraId="1EAFDC33" w14:textId="77777777" w:rsidR="006C46C5" w:rsidRPr="006C46C5" w:rsidRDefault="006C46C5" w:rsidP="006C46C5"/>
    <w:p w14:paraId="5B9F41C1" w14:textId="77777777" w:rsidR="006C46C5" w:rsidRPr="006C46C5" w:rsidRDefault="006C46C5" w:rsidP="006C46C5"/>
    <w:p w14:paraId="07AA6FEB" w14:textId="77777777" w:rsidR="006C46C5" w:rsidRPr="006C46C5" w:rsidRDefault="006C46C5" w:rsidP="006C46C5"/>
    <w:p w14:paraId="309445F1" w14:textId="77777777" w:rsidR="00DB12CC" w:rsidRPr="00BB11B4" w:rsidRDefault="00DB12CC" w:rsidP="00BB11B4">
      <w:pPr>
        <w:tabs>
          <w:tab w:val="left" w:pos="7335"/>
        </w:tabs>
      </w:pPr>
    </w:p>
    <w:sectPr w:rsidR="00DB12CC" w:rsidRPr="00BB11B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6534" w14:textId="77777777" w:rsidR="00A61F13" w:rsidRDefault="00A61F13" w:rsidP="006C46C5">
      <w:pPr>
        <w:spacing w:after="0" w:line="240" w:lineRule="auto"/>
      </w:pPr>
      <w:r>
        <w:separator/>
      </w:r>
    </w:p>
  </w:endnote>
  <w:endnote w:type="continuationSeparator" w:id="0">
    <w:p w14:paraId="50A9E93B" w14:textId="77777777" w:rsidR="00A61F13" w:rsidRDefault="00A61F13"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02B6" w14:textId="77777777" w:rsidR="005A0DBC" w:rsidRPr="0050293F" w:rsidRDefault="005A0DBC" w:rsidP="005A0DBC">
    <w:pPr>
      <w:pStyle w:val="Footer"/>
      <w:rPr>
        <w:sz w:val="16"/>
        <w:szCs w:val="16"/>
      </w:rPr>
    </w:pPr>
    <w:r w:rsidRPr="0050293F">
      <w:rPr>
        <w:sz w:val="16"/>
        <w:szCs w:val="16"/>
      </w:rPr>
      <w:t>Approved by the Director</w:t>
    </w:r>
    <w:r>
      <w:rPr>
        <w:sz w:val="16"/>
        <w:szCs w:val="16"/>
      </w:rPr>
      <w:t>-</w:t>
    </w:r>
    <w:r w:rsidRPr="0050293F">
      <w:rPr>
        <w:sz w:val="16"/>
        <w:szCs w:val="16"/>
      </w:rPr>
      <w:t xml:space="preserve">General </w:t>
    </w:r>
    <w:r>
      <w:rPr>
        <w:sz w:val="16"/>
        <w:szCs w:val="16"/>
      </w:rPr>
      <w:t>20/05</w:t>
    </w:r>
    <w:r w:rsidRPr="0050293F">
      <w:rPr>
        <w:sz w:val="16"/>
        <w:szCs w:val="16"/>
      </w:rPr>
      <w:t>/2015</w:t>
    </w:r>
  </w:p>
  <w:p w14:paraId="38AACC2C" w14:textId="77777777" w:rsidR="006C46C5" w:rsidRDefault="00207089" w:rsidP="00BB11B4">
    <w:pPr>
      <w:pStyle w:val="Footer"/>
      <w:tabs>
        <w:tab w:val="clear" w:pos="9026"/>
      </w:tabs>
    </w:pPr>
    <w:r>
      <w:rPr>
        <w:noProof/>
        <w:lang w:eastAsia="en-AU"/>
      </w:rPr>
      <w:drawing>
        <wp:anchor distT="0" distB="0" distL="114300" distR="114300" simplePos="0" relativeHeight="251659264" behindDoc="1" locked="0" layoutInCell="1" allowOverlap="1" wp14:anchorId="1B9D920A" wp14:editId="06F844C1">
          <wp:simplePos x="0" y="0"/>
          <wp:positionH relativeFrom="column">
            <wp:posOffset>-900329</wp:posOffset>
          </wp:positionH>
          <wp:positionV relativeFrom="paragraph">
            <wp:posOffset>-212090</wp:posOffset>
          </wp:positionV>
          <wp:extent cx="7531735" cy="8469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62E7" w14:textId="77777777" w:rsidR="00A61F13" w:rsidRDefault="00A61F13" w:rsidP="006C46C5">
      <w:pPr>
        <w:spacing w:after="0" w:line="240" w:lineRule="auto"/>
      </w:pPr>
      <w:r>
        <w:separator/>
      </w:r>
    </w:p>
  </w:footnote>
  <w:footnote w:type="continuationSeparator" w:id="0">
    <w:p w14:paraId="501F90A1" w14:textId="77777777" w:rsidR="00A61F13" w:rsidRDefault="00A61F13" w:rsidP="006C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F3C1" w14:textId="77777777" w:rsidR="006C46C5" w:rsidRPr="006C46C5" w:rsidRDefault="006C46C5" w:rsidP="006C46C5">
    <w:pPr>
      <w:pStyle w:val="Header"/>
    </w:pPr>
    <w:r>
      <w:rPr>
        <w:noProof/>
        <w:lang w:eastAsia="en-AU"/>
      </w:rPr>
      <w:drawing>
        <wp:anchor distT="0" distB="0" distL="114300" distR="114300" simplePos="0" relativeHeight="251658240" behindDoc="1" locked="0" layoutInCell="1" allowOverlap="1" wp14:anchorId="2DE04014" wp14:editId="0F0706D3">
          <wp:simplePos x="0" y="0"/>
          <wp:positionH relativeFrom="column">
            <wp:posOffset>-904875</wp:posOffset>
          </wp:positionH>
          <wp:positionV relativeFrom="paragraph">
            <wp:posOffset>-438785</wp:posOffset>
          </wp:positionV>
          <wp:extent cx="7581900" cy="1080770"/>
          <wp:effectExtent l="0" t="0" r="0" b="5080"/>
          <wp:wrapTight wrapText="bothSides">
            <wp:wrapPolygon edited="0">
              <wp:start x="0" y="0"/>
              <wp:lineTo x="0" y="21321"/>
              <wp:lineTo x="21546" y="21321"/>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F30"/>
    <w:multiLevelType w:val="hybridMultilevel"/>
    <w:tmpl w:val="6128A2C8"/>
    <w:lvl w:ilvl="0" w:tplc="F4EA698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EF0054"/>
    <w:multiLevelType w:val="hybridMultilevel"/>
    <w:tmpl w:val="943417BC"/>
    <w:lvl w:ilvl="0" w:tplc="8E1E8C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5F5BC2"/>
    <w:multiLevelType w:val="hybridMultilevel"/>
    <w:tmpl w:val="CC6E3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C5"/>
    <w:rsid w:val="00207089"/>
    <w:rsid w:val="005A0DBC"/>
    <w:rsid w:val="006C46C5"/>
    <w:rsid w:val="0078109A"/>
    <w:rsid w:val="00A61F13"/>
    <w:rsid w:val="00BB11B4"/>
    <w:rsid w:val="00DB12CC"/>
    <w:rsid w:val="00E11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49FF0"/>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B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1Char">
    <w:name w:val="Heading 1 Char"/>
    <w:basedOn w:val="DefaultParagraphFont"/>
    <w:link w:val="Heading1"/>
    <w:uiPriority w:val="9"/>
    <w:rsid w:val="005A0DB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A0DBC"/>
    <w:pPr>
      <w:spacing w:before="100" w:beforeAutospacing="1" w:after="100" w:afterAutospacing="1" w:line="240" w:lineRule="auto"/>
    </w:pPr>
    <w:rPr>
      <w:rFonts w:ascii="Verdana" w:eastAsia="Times New Roman" w:hAnsi="Verdana"/>
      <w:color w:val="000000"/>
      <w:sz w:val="20"/>
      <w:szCs w:val="20"/>
      <w:lang w:eastAsia="en-AU"/>
    </w:rPr>
  </w:style>
  <w:style w:type="character" w:styleId="Strong">
    <w:name w:val="Strong"/>
    <w:uiPriority w:val="22"/>
    <w:qFormat/>
    <w:rsid w:val="005A0DBC"/>
    <w:rPr>
      <w:b/>
      <w:bCs/>
    </w:rPr>
  </w:style>
  <w:style w:type="paragraph" w:customStyle="1" w:styleId="Default">
    <w:name w:val="Default"/>
    <w:rsid w:val="005A0DBC"/>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basedOn w:val="DefaultParagraphFont"/>
    <w:uiPriority w:val="99"/>
    <w:unhideWhenUsed/>
    <w:rsid w:val="005A0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cintranet/docs/DPC%20Documents/procurement-agency-guidelines.t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pcintranet/docs/DPC%20Documents/Expenditure%20Delegations%20-%20DPC.tr5" TargetMode="External"/><Relationship Id="rId4" Type="http://schemas.openxmlformats.org/officeDocument/2006/relationships/settings" Target="settings.xml"/><Relationship Id="rId9" Type="http://schemas.openxmlformats.org/officeDocument/2006/relationships/hyperlink" Target="http://dpcintranet/docs/DPC%20Documents/procurement-agency-guidelines.tr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8F55-E2EC-47BE-84E2-80F0A572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Corporate Policy Department of the Premier and Cabinet </dc:title>
  <dc:subject/>
  <dc:creator>Mandy.Marquis@premiers.qld.gov.au</dc:creator>
  <cp:keywords>procurement, corporate, policy, dpc, department of the premier and cabinet, purchase, goods, services</cp:keywords>
  <dc:description/>
  <cp:lastModifiedBy>Janelle Hocking</cp:lastModifiedBy>
  <cp:revision>3</cp:revision>
  <cp:lastPrinted>2015-08-04T06:31:00Z</cp:lastPrinted>
  <dcterms:created xsi:type="dcterms:W3CDTF">2016-01-11T01:24:00Z</dcterms:created>
  <dcterms:modified xsi:type="dcterms:W3CDTF">2016-01-11T01:29:00Z</dcterms:modified>
</cp:coreProperties>
</file>